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B16C" w14:textId="352101CA" w:rsidR="004B0CAD" w:rsidRPr="00ED5558" w:rsidRDefault="004B0CAD" w:rsidP="004B0CAD">
      <w:pPr>
        <w:jc w:val="center"/>
        <w:rPr>
          <w:b/>
          <w:bCs/>
          <w:color w:val="7030A0"/>
          <w:sz w:val="32"/>
          <w:szCs w:val="32"/>
          <w:lang w:val="en-US"/>
        </w:rPr>
      </w:pPr>
      <w:r w:rsidRPr="00ED5558">
        <w:rPr>
          <w:b/>
          <w:bCs/>
          <w:color w:val="7030A0"/>
          <w:sz w:val="32"/>
          <w:szCs w:val="32"/>
          <w:lang w:val="en-US"/>
        </w:rPr>
        <w:t>Stakeholder Event: September 26, 2022</w:t>
      </w:r>
    </w:p>
    <w:p w14:paraId="3DBB60A4" w14:textId="3431462E" w:rsidR="004B0CAD" w:rsidRPr="00ED5558" w:rsidRDefault="004B0CAD" w:rsidP="004B0CAD">
      <w:pPr>
        <w:jc w:val="center"/>
        <w:rPr>
          <w:b/>
          <w:bCs/>
          <w:color w:val="7030A0"/>
          <w:sz w:val="32"/>
          <w:szCs w:val="32"/>
          <w:lang w:val="en-US"/>
        </w:rPr>
      </w:pPr>
      <w:r w:rsidRPr="00ED5558">
        <w:rPr>
          <w:b/>
          <w:bCs/>
          <w:color w:val="7030A0"/>
          <w:sz w:val="32"/>
          <w:szCs w:val="32"/>
          <w:lang w:val="en-US"/>
        </w:rPr>
        <w:t>16:30-18:30 Prima Aula room, Valletta Campus</w:t>
      </w:r>
    </w:p>
    <w:p w14:paraId="2DA6D881" w14:textId="4BBE1D9A" w:rsidR="00C05873" w:rsidRPr="00ED5558" w:rsidRDefault="004B0CAD" w:rsidP="004B0CAD">
      <w:pPr>
        <w:jc w:val="center"/>
        <w:rPr>
          <w:b/>
          <w:bCs/>
          <w:color w:val="7030A0"/>
          <w:sz w:val="32"/>
          <w:szCs w:val="32"/>
          <w:lang w:val="en-US"/>
        </w:rPr>
      </w:pPr>
      <w:r w:rsidRPr="00ED5558">
        <w:rPr>
          <w:b/>
          <w:bCs/>
          <w:color w:val="7030A0"/>
          <w:sz w:val="32"/>
          <w:szCs w:val="32"/>
          <w:lang w:val="en-US"/>
        </w:rPr>
        <w:t>University of Malta</w:t>
      </w:r>
    </w:p>
    <w:p w14:paraId="57827A14" w14:textId="5BA64359" w:rsidR="004B0CAD" w:rsidRPr="00A34F08" w:rsidRDefault="004B0CAD" w:rsidP="004B0CAD">
      <w:pPr>
        <w:jc w:val="center"/>
        <w:rPr>
          <w:lang w:val="en-US"/>
        </w:rPr>
      </w:pPr>
    </w:p>
    <w:p w14:paraId="6567DAF0" w14:textId="77777777" w:rsidR="00A34F08" w:rsidRPr="00A34F08" w:rsidRDefault="00A34F08" w:rsidP="00A34F08">
      <w:pPr>
        <w:pStyle w:val="NormalWeb"/>
        <w:jc w:val="both"/>
        <w:rPr>
          <w:rFonts w:asciiTheme="minorHAnsi" w:hAnsiTheme="minorHAnsi" w:cstheme="minorHAnsi"/>
          <w:color w:val="333333"/>
          <w:lang w:val="en-US"/>
        </w:rPr>
      </w:pPr>
      <w:r w:rsidRPr="00A34F08">
        <w:rPr>
          <w:rFonts w:asciiTheme="minorHAnsi" w:hAnsiTheme="minorHAnsi" w:cstheme="minorHAnsi"/>
          <w:color w:val="333333"/>
          <w:lang w:val="en-US"/>
        </w:rPr>
        <w:t>Intersex people’s healthcare, social and human rights issues are often overlooked. They continue to face exposure to multiple forms of human rights violations and discrimination, requiring cross-sectoral policy responses in fields including healthcare, education, and the law.</w:t>
      </w:r>
    </w:p>
    <w:p w14:paraId="5C472664" w14:textId="3098B82D" w:rsidR="00A34F08" w:rsidRPr="00A34F08" w:rsidRDefault="00A34F08" w:rsidP="00A34F08">
      <w:pPr>
        <w:pStyle w:val="NormalWeb"/>
        <w:jc w:val="both"/>
        <w:rPr>
          <w:rFonts w:asciiTheme="minorHAnsi" w:hAnsiTheme="minorHAnsi" w:cstheme="minorHAnsi"/>
          <w:color w:val="333333"/>
          <w:lang w:val="en-US"/>
        </w:rPr>
      </w:pPr>
      <w:r w:rsidRPr="00A34F08">
        <w:rPr>
          <w:rFonts w:asciiTheme="minorHAnsi" w:hAnsiTheme="minorHAnsi" w:cstheme="minorHAnsi"/>
          <w:color w:val="333333"/>
          <w:lang w:val="en-US"/>
        </w:rPr>
        <w:t>The INIA Consortium aims to conduct research that will support the wellbeing and rights of intersex people and those who are born with some variations of sex characteristics but do not identify as intersex (hereafter: intersex people/people with variations of sex characteristics). This includes people who are given the label of DSD (disorders or differences of sex development) in medical contexts.</w:t>
      </w:r>
    </w:p>
    <w:p w14:paraId="7D23894F" w14:textId="579F6021" w:rsidR="00A34F08" w:rsidRPr="00A34F08" w:rsidRDefault="00A34F08" w:rsidP="00A34F08">
      <w:pPr>
        <w:pStyle w:val="NormalWeb"/>
        <w:jc w:val="both"/>
        <w:rPr>
          <w:rFonts w:asciiTheme="minorHAnsi" w:hAnsiTheme="minorHAnsi" w:cstheme="minorHAnsi"/>
          <w:color w:val="333333"/>
          <w:lang w:val="en-US"/>
        </w:rPr>
      </w:pPr>
      <w:r w:rsidRPr="00A34F08">
        <w:rPr>
          <w:rFonts w:asciiTheme="minorHAnsi" w:hAnsiTheme="minorHAnsi" w:cstheme="minorHAnsi"/>
          <w:color w:val="333333"/>
          <w:lang w:val="en-US"/>
        </w:rPr>
        <w:t xml:space="preserve">The INIA group </w:t>
      </w:r>
      <w:r w:rsidR="00912598">
        <w:rPr>
          <w:rFonts w:asciiTheme="minorHAnsi" w:hAnsiTheme="minorHAnsi" w:cstheme="minorHAnsi"/>
          <w:color w:val="333333"/>
          <w:lang w:val="en-US"/>
        </w:rPr>
        <w:t>will be in Malta in</w:t>
      </w:r>
      <w:r w:rsidRPr="00A34F08">
        <w:rPr>
          <w:rFonts w:asciiTheme="minorHAnsi" w:hAnsiTheme="minorHAnsi" w:cstheme="minorHAnsi"/>
          <w:color w:val="333333"/>
          <w:lang w:val="en-US"/>
        </w:rPr>
        <w:t xml:space="preserve"> September 2022 </w:t>
      </w:r>
      <w:r w:rsidR="00912598">
        <w:rPr>
          <w:rFonts w:asciiTheme="minorHAnsi" w:hAnsiTheme="minorHAnsi" w:cstheme="minorHAnsi"/>
          <w:color w:val="333333"/>
          <w:lang w:val="en-US"/>
        </w:rPr>
        <w:t xml:space="preserve">for a network event </w:t>
      </w:r>
      <w:r w:rsidRPr="00A34F08">
        <w:rPr>
          <w:rFonts w:asciiTheme="minorHAnsi" w:hAnsiTheme="minorHAnsi" w:cstheme="minorHAnsi"/>
          <w:color w:val="333333"/>
          <w:lang w:val="en-US"/>
        </w:rPr>
        <w:t xml:space="preserve">and would like to invite you to a stakeholder workshop on the evening of September 26th. A brief program is provided here below: </w:t>
      </w:r>
    </w:p>
    <w:tbl>
      <w:tblPr>
        <w:tblStyle w:val="TableGrid"/>
        <w:tblW w:w="0" w:type="auto"/>
        <w:tblLook w:val="04A0" w:firstRow="1" w:lastRow="0" w:firstColumn="1" w:lastColumn="0" w:noHBand="0" w:noVBand="1"/>
      </w:tblPr>
      <w:tblGrid>
        <w:gridCol w:w="1241"/>
        <w:gridCol w:w="7775"/>
      </w:tblGrid>
      <w:tr w:rsidR="00A34F08" w:rsidRPr="00A34F08" w14:paraId="5C169040" w14:textId="77777777" w:rsidTr="00791811">
        <w:tc>
          <w:tcPr>
            <w:tcW w:w="1241" w:type="dxa"/>
          </w:tcPr>
          <w:p w14:paraId="27E3C7B5" w14:textId="68592FA4" w:rsidR="00A34F08" w:rsidRPr="00ED5558" w:rsidRDefault="00A34F08" w:rsidP="00A34F08">
            <w:pPr>
              <w:pStyle w:val="NormalWeb"/>
              <w:jc w:val="both"/>
              <w:rPr>
                <w:rFonts w:asciiTheme="minorHAnsi" w:hAnsiTheme="minorHAnsi" w:cstheme="minorHAnsi"/>
                <w:color w:val="333333"/>
                <w:lang w:val="en-US"/>
              </w:rPr>
            </w:pPr>
            <w:r w:rsidRPr="00ED5558">
              <w:rPr>
                <w:rFonts w:asciiTheme="minorHAnsi" w:hAnsiTheme="minorHAnsi" w:cstheme="minorHAnsi"/>
                <w:color w:val="333333"/>
                <w:lang w:val="en-US"/>
              </w:rPr>
              <w:t>16 :30</w:t>
            </w:r>
            <w:r w:rsidRPr="00ED5558">
              <w:rPr>
                <w:rFonts w:asciiTheme="minorHAnsi" w:hAnsiTheme="minorHAnsi" w:cstheme="minorHAnsi"/>
                <w:color w:val="333333"/>
                <w:lang w:val="en-US"/>
              </w:rPr>
              <w:br/>
              <w:t>16 :35</w:t>
            </w:r>
          </w:p>
        </w:tc>
        <w:tc>
          <w:tcPr>
            <w:tcW w:w="7775" w:type="dxa"/>
          </w:tcPr>
          <w:p w14:paraId="687142A5" w14:textId="35E3D607" w:rsidR="00A34F08" w:rsidRPr="00ED5558" w:rsidRDefault="00A34F08" w:rsidP="00A34F08">
            <w:pPr>
              <w:pStyle w:val="NormalWeb"/>
              <w:jc w:val="both"/>
              <w:rPr>
                <w:rFonts w:asciiTheme="minorHAnsi" w:hAnsiTheme="minorHAnsi" w:cstheme="minorHAnsi"/>
                <w:color w:val="333333"/>
                <w:lang w:val="en-US"/>
              </w:rPr>
            </w:pPr>
            <w:r w:rsidRPr="00ED5558">
              <w:rPr>
                <w:rFonts w:asciiTheme="minorHAnsi" w:hAnsiTheme="minorHAnsi" w:cstheme="minorHAnsi"/>
                <w:color w:val="333333"/>
                <w:lang w:val="en-US"/>
              </w:rPr>
              <w:t>Welcome (Prof. Marceline Naudi, University of Malta)</w:t>
            </w:r>
          </w:p>
        </w:tc>
      </w:tr>
      <w:tr w:rsidR="00A34F08" w:rsidRPr="00A34F08" w14:paraId="6A109732" w14:textId="77777777" w:rsidTr="00791811">
        <w:tc>
          <w:tcPr>
            <w:tcW w:w="1241" w:type="dxa"/>
          </w:tcPr>
          <w:p w14:paraId="68A8DF0F" w14:textId="5E0C49FD" w:rsidR="00A34F08" w:rsidRPr="00ED5558" w:rsidRDefault="00A34F08" w:rsidP="00A34F08">
            <w:pPr>
              <w:pStyle w:val="NormalWeb"/>
              <w:jc w:val="both"/>
              <w:rPr>
                <w:rFonts w:asciiTheme="minorHAnsi" w:hAnsiTheme="minorHAnsi" w:cstheme="minorHAnsi"/>
                <w:color w:val="333333"/>
                <w:lang w:val="en-US"/>
              </w:rPr>
            </w:pPr>
            <w:r w:rsidRPr="00ED5558">
              <w:rPr>
                <w:rFonts w:asciiTheme="minorHAnsi" w:hAnsiTheme="minorHAnsi" w:cstheme="minorHAnsi"/>
                <w:color w:val="333333"/>
                <w:lang w:val="en-US"/>
              </w:rPr>
              <w:t>16 :35</w:t>
            </w:r>
            <w:r w:rsidRPr="00ED5558">
              <w:rPr>
                <w:rFonts w:asciiTheme="minorHAnsi" w:hAnsiTheme="minorHAnsi" w:cstheme="minorHAnsi"/>
                <w:color w:val="333333"/>
                <w:lang w:val="en-US"/>
              </w:rPr>
              <w:br/>
              <w:t>16 :45</w:t>
            </w:r>
          </w:p>
        </w:tc>
        <w:tc>
          <w:tcPr>
            <w:tcW w:w="7775" w:type="dxa"/>
          </w:tcPr>
          <w:p w14:paraId="31822D4C" w14:textId="0D69F6D0" w:rsidR="00A34F08" w:rsidRPr="00ED5558" w:rsidRDefault="00A34F08" w:rsidP="00A34F08">
            <w:pPr>
              <w:pStyle w:val="NormalWeb"/>
              <w:jc w:val="both"/>
              <w:rPr>
                <w:rFonts w:asciiTheme="minorHAnsi" w:hAnsiTheme="minorHAnsi" w:cstheme="minorHAnsi"/>
                <w:color w:val="333333"/>
                <w:lang w:val="en-US"/>
              </w:rPr>
            </w:pPr>
            <w:r w:rsidRPr="00ED5558">
              <w:rPr>
                <w:rFonts w:asciiTheme="minorHAnsi" w:hAnsiTheme="minorHAnsi" w:cstheme="minorHAnsi"/>
                <w:color w:val="333333"/>
                <w:lang w:val="en-US"/>
              </w:rPr>
              <w:t>An overview of the INIA project (Prof. Surya Monro, University of Huddersfield)</w:t>
            </w:r>
          </w:p>
        </w:tc>
      </w:tr>
      <w:tr w:rsidR="00A34F08" w:rsidRPr="00A34F08" w14:paraId="63CE25DF" w14:textId="77777777" w:rsidTr="00791811">
        <w:tc>
          <w:tcPr>
            <w:tcW w:w="1241" w:type="dxa"/>
          </w:tcPr>
          <w:p w14:paraId="19854A29" w14:textId="53A6FD08" w:rsidR="00A34F08" w:rsidRPr="00ED5558" w:rsidRDefault="00A34F08" w:rsidP="00A34F08">
            <w:pPr>
              <w:pStyle w:val="NormalWeb"/>
              <w:jc w:val="both"/>
              <w:rPr>
                <w:rFonts w:asciiTheme="minorHAnsi" w:hAnsiTheme="minorHAnsi" w:cstheme="minorHAnsi"/>
                <w:color w:val="333333"/>
                <w:lang w:val="en-US"/>
              </w:rPr>
            </w:pPr>
            <w:r w:rsidRPr="00ED5558">
              <w:rPr>
                <w:rFonts w:asciiTheme="minorHAnsi" w:hAnsiTheme="minorHAnsi" w:cstheme="minorHAnsi"/>
                <w:color w:val="333333"/>
                <w:lang w:val="en-US"/>
              </w:rPr>
              <w:t>16:45</w:t>
            </w:r>
            <w:r w:rsidRPr="00ED5558">
              <w:rPr>
                <w:rFonts w:asciiTheme="minorHAnsi" w:hAnsiTheme="minorHAnsi" w:cstheme="minorHAnsi"/>
                <w:color w:val="333333"/>
                <w:lang w:val="en-US"/>
              </w:rPr>
              <w:br/>
              <w:t>16:55</w:t>
            </w:r>
          </w:p>
        </w:tc>
        <w:tc>
          <w:tcPr>
            <w:tcW w:w="7775" w:type="dxa"/>
          </w:tcPr>
          <w:p w14:paraId="297AB713" w14:textId="6F5370AD" w:rsidR="00A34F08" w:rsidRPr="00ED5558" w:rsidRDefault="00ED5558" w:rsidP="00A34F08">
            <w:pPr>
              <w:pStyle w:val="NormalWeb"/>
              <w:jc w:val="both"/>
              <w:rPr>
                <w:rFonts w:asciiTheme="minorHAnsi" w:hAnsiTheme="minorHAnsi" w:cstheme="minorHAnsi"/>
                <w:color w:val="333333"/>
                <w:lang w:val="fr-FR"/>
              </w:rPr>
            </w:pPr>
            <w:r w:rsidRPr="00ED5558">
              <w:rPr>
                <w:rFonts w:asciiTheme="minorHAnsi" w:hAnsiTheme="minorHAnsi" w:cstheme="minorHAnsi"/>
                <w:color w:val="333333"/>
                <w:lang w:val="en-US"/>
              </w:rPr>
              <w:t xml:space="preserve">Building equality architecture within the European Commission (Silvan Agius, </w:t>
            </w:r>
            <w:r w:rsidRPr="00ED5558">
              <w:rPr>
                <w:rFonts w:asciiTheme="minorHAnsi" w:hAnsiTheme="minorHAnsi" w:cstheme="minorHAnsi"/>
                <w:color w:val="333333"/>
              </w:rPr>
              <w:t>Cabinet of Commissioner for Equality Helena DALLI</w:t>
            </w:r>
            <w:r w:rsidRPr="00ED5558">
              <w:rPr>
                <w:rFonts w:asciiTheme="minorHAnsi" w:hAnsiTheme="minorHAnsi" w:cstheme="minorHAnsi"/>
                <w:color w:val="333333"/>
                <w:lang w:val="fr-FR"/>
              </w:rPr>
              <w:t>)</w:t>
            </w:r>
          </w:p>
        </w:tc>
      </w:tr>
      <w:tr w:rsidR="00A34F08" w:rsidRPr="00A34F08" w14:paraId="1E3DAB06" w14:textId="77777777" w:rsidTr="00791811">
        <w:tc>
          <w:tcPr>
            <w:tcW w:w="1241" w:type="dxa"/>
          </w:tcPr>
          <w:p w14:paraId="768FD146" w14:textId="775D0F76" w:rsidR="00ED5558" w:rsidRPr="00ED5558" w:rsidRDefault="00ED5558" w:rsidP="00A34F08">
            <w:pPr>
              <w:pStyle w:val="NormalWeb"/>
              <w:jc w:val="both"/>
              <w:rPr>
                <w:rFonts w:asciiTheme="minorHAnsi" w:hAnsiTheme="minorHAnsi" w:cstheme="minorHAnsi"/>
                <w:color w:val="333333"/>
                <w:lang w:val="en-US"/>
              </w:rPr>
            </w:pPr>
            <w:r w:rsidRPr="00ED5558">
              <w:rPr>
                <w:rFonts w:asciiTheme="minorHAnsi" w:hAnsiTheme="minorHAnsi" w:cstheme="minorHAnsi"/>
                <w:color w:val="333333"/>
                <w:lang w:val="en-US"/>
              </w:rPr>
              <w:t>16:55</w:t>
            </w:r>
            <w:r w:rsidRPr="00ED5558">
              <w:rPr>
                <w:rFonts w:asciiTheme="minorHAnsi" w:hAnsiTheme="minorHAnsi" w:cstheme="minorHAnsi"/>
                <w:color w:val="333333"/>
                <w:lang w:val="en-US"/>
              </w:rPr>
              <w:br/>
              <w:t>17:</w:t>
            </w:r>
            <w:r w:rsidR="0066065A">
              <w:rPr>
                <w:rFonts w:asciiTheme="minorHAnsi" w:hAnsiTheme="minorHAnsi" w:cstheme="minorHAnsi"/>
                <w:color w:val="333333"/>
                <w:lang w:val="en-US"/>
              </w:rPr>
              <w:t>15</w:t>
            </w:r>
          </w:p>
        </w:tc>
        <w:tc>
          <w:tcPr>
            <w:tcW w:w="7775" w:type="dxa"/>
          </w:tcPr>
          <w:p w14:paraId="065C4E8A" w14:textId="2C124027" w:rsidR="00A34F08" w:rsidRPr="00ED5558" w:rsidRDefault="00ED5558" w:rsidP="00A34F08">
            <w:pPr>
              <w:pStyle w:val="NormalWeb"/>
              <w:jc w:val="both"/>
              <w:rPr>
                <w:rFonts w:asciiTheme="minorHAnsi" w:hAnsiTheme="minorHAnsi" w:cstheme="minorHAnsi"/>
                <w:color w:val="333333"/>
                <w:lang w:val="en-US"/>
              </w:rPr>
            </w:pPr>
            <w:r w:rsidRPr="00ED5558">
              <w:rPr>
                <w:rFonts w:asciiTheme="minorHAnsi" w:hAnsiTheme="minorHAnsi" w:cstheme="minorHAnsi"/>
                <w:color w:val="333333"/>
                <w:lang w:val="en-US"/>
              </w:rPr>
              <w:t>Key findings from the INIA project</w:t>
            </w:r>
            <w:r w:rsidR="004F0188">
              <w:rPr>
                <w:rFonts w:asciiTheme="minorHAnsi" w:hAnsiTheme="minorHAnsi" w:cstheme="minorHAnsi"/>
                <w:color w:val="333333"/>
                <w:lang w:val="en-US"/>
              </w:rPr>
              <w:t xml:space="preserve"> (INIA ESRs)</w:t>
            </w:r>
          </w:p>
        </w:tc>
      </w:tr>
      <w:tr w:rsidR="00F41408" w:rsidRPr="00A34F08" w14:paraId="740826CA" w14:textId="77777777" w:rsidTr="00791811">
        <w:tc>
          <w:tcPr>
            <w:tcW w:w="1241" w:type="dxa"/>
          </w:tcPr>
          <w:p w14:paraId="2916C2C6" w14:textId="77777777" w:rsidR="00F41408" w:rsidRDefault="00F41408" w:rsidP="00F41408">
            <w:pPr>
              <w:pStyle w:val="NormalWeb"/>
              <w:spacing w:after="0" w:afterAutospacing="0"/>
              <w:jc w:val="both"/>
              <w:rPr>
                <w:rFonts w:asciiTheme="minorHAnsi" w:hAnsiTheme="minorHAnsi" w:cstheme="minorHAnsi"/>
                <w:color w:val="333333"/>
                <w:lang w:val="en-US"/>
              </w:rPr>
            </w:pPr>
            <w:r>
              <w:rPr>
                <w:rFonts w:asciiTheme="minorHAnsi" w:hAnsiTheme="minorHAnsi" w:cstheme="minorHAnsi"/>
                <w:color w:val="333333"/>
                <w:lang w:val="en-US"/>
              </w:rPr>
              <w:t>17.15</w:t>
            </w:r>
          </w:p>
          <w:p w14:paraId="1BB4557E" w14:textId="5B0B9B45" w:rsidR="00F41408" w:rsidRPr="00ED5558" w:rsidRDefault="00F41408" w:rsidP="00F41408">
            <w:pPr>
              <w:pStyle w:val="NormalWeb"/>
              <w:spacing w:before="0" w:beforeAutospacing="0"/>
              <w:jc w:val="both"/>
              <w:rPr>
                <w:rFonts w:asciiTheme="minorHAnsi" w:hAnsiTheme="minorHAnsi" w:cstheme="minorHAnsi"/>
                <w:color w:val="333333"/>
                <w:lang w:val="en-US"/>
              </w:rPr>
            </w:pPr>
            <w:r>
              <w:rPr>
                <w:rFonts w:asciiTheme="minorHAnsi" w:hAnsiTheme="minorHAnsi" w:cstheme="minorHAnsi"/>
                <w:color w:val="333333"/>
                <w:lang w:val="en-US"/>
              </w:rPr>
              <w:t>17.25</w:t>
            </w:r>
          </w:p>
        </w:tc>
        <w:tc>
          <w:tcPr>
            <w:tcW w:w="7775" w:type="dxa"/>
          </w:tcPr>
          <w:p w14:paraId="70407652" w14:textId="6B4AE63A" w:rsidR="00F41408" w:rsidRPr="00ED5558" w:rsidRDefault="00F41408" w:rsidP="00A34F08">
            <w:pPr>
              <w:pStyle w:val="NormalWeb"/>
              <w:jc w:val="both"/>
              <w:rPr>
                <w:rFonts w:asciiTheme="minorHAnsi" w:hAnsiTheme="minorHAnsi" w:cstheme="minorHAnsi"/>
                <w:color w:val="333333"/>
                <w:lang w:val="en-US"/>
              </w:rPr>
            </w:pPr>
            <w:r>
              <w:rPr>
                <w:rFonts w:asciiTheme="minorHAnsi" w:hAnsiTheme="minorHAnsi" w:cstheme="minorHAnsi"/>
                <w:color w:val="333333"/>
                <w:lang w:val="en-US"/>
              </w:rPr>
              <w:t>The drafting of the Malta SOGIGESC law (Dr Neil Falzon, Aditus)</w:t>
            </w:r>
          </w:p>
        </w:tc>
      </w:tr>
      <w:tr w:rsidR="0066065A" w:rsidRPr="00A34F08" w14:paraId="2F3B6E17" w14:textId="77777777" w:rsidTr="00791811">
        <w:tc>
          <w:tcPr>
            <w:tcW w:w="1241" w:type="dxa"/>
          </w:tcPr>
          <w:p w14:paraId="533854A7" w14:textId="39378643" w:rsidR="0066065A" w:rsidRPr="00ED5558" w:rsidRDefault="00F41408" w:rsidP="00A34F08">
            <w:pPr>
              <w:pStyle w:val="NormalWeb"/>
              <w:jc w:val="both"/>
              <w:rPr>
                <w:rFonts w:asciiTheme="minorHAnsi" w:hAnsiTheme="minorHAnsi" w:cstheme="minorHAnsi"/>
                <w:color w:val="333333"/>
                <w:lang w:val="en-US"/>
              </w:rPr>
            </w:pPr>
            <w:r>
              <w:rPr>
                <w:rFonts w:asciiTheme="minorHAnsi" w:hAnsiTheme="minorHAnsi" w:cstheme="minorHAnsi"/>
                <w:color w:val="333333"/>
                <w:lang w:val="en-US"/>
              </w:rPr>
              <w:t>17:25</w:t>
            </w:r>
            <w:r>
              <w:rPr>
                <w:rFonts w:asciiTheme="minorHAnsi" w:hAnsiTheme="minorHAnsi" w:cstheme="minorHAnsi"/>
                <w:color w:val="333333"/>
                <w:lang w:val="en-US"/>
              </w:rPr>
              <w:br/>
              <w:t>17:35</w:t>
            </w:r>
          </w:p>
        </w:tc>
        <w:tc>
          <w:tcPr>
            <w:tcW w:w="7775" w:type="dxa"/>
          </w:tcPr>
          <w:p w14:paraId="33145CDE" w14:textId="1F5CA958" w:rsidR="0066065A" w:rsidRDefault="0066065A" w:rsidP="00397CD4">
            <w:pPr>
              <w:pStyle w:val="NormalWeb"/>
              <w:jc w:val="both"/>
              <w:rPr>
                <w:rFonts w:asciiTheme="minorHAnsi" w:hAnsiTheme="minorHAnsi" w:cstheme="minorHAnsi"/>
                <w:color w:val="333333"/>
                <w:lang w:val="en-US"/>
              </w:rPr>
            </w:pPr>
            <w:r>
              <w:rPr>
                <w:rFonts w:asciiTheme="minorHAnsi" w:hAnsiTheme="minorHAnsi" w:cstheme="minorHAnsi"/>
                <w:color w:val="333333"/>
                <w:lang w:val="en-US"/>
              </w:rPr>
              <w:t xml:space="preserve">Short presentation </w:t>
            </w:r>
            <w:r w:rsidR="00397CD4">
              <w:rPr>
                <w:rFonts w:asciiTheme="minorHAnsi" w:hAnsiTheme="minorHAnsi" w:cstheme="minorHAnsi"/>
                <w:color w:val="333333"/>
                <w:lang w:val="en-US"/>
              </w:rPr>
              <w:t>on the work of the</w:t>
            </w:r>
            <w:r>
              <w:rPr>
                <w:rFonts w:asciiTheme="minorHAnsi" w:hAnsiTheme="minorHAnsi" w:cstheme="minorHAnsi"/>
                <w:color w:val="333333"/>
                <w:lang w:val="en-US"/>
              </w:rPr>
              <w:t xml:space="preserve"> IPRWG</w:t>
            </w:r>
            <w:r w:rsidR="00F41408">
              <w:rPr>
                <w:rFonts w:asciiTheme="minorHAnsi" w:hAnsiTheme="minorHAnsi" w:cstheme="minorHAnsi"/>
                <w:color w:val="333333"/>
                <w:lang w:val="en-US"/>
              </w:rPr>
              <w:t xml:space="preserve"> (Dr Alexia </w:t>
            </w:r>
            <w:r w:rsidR="00397CD4">
              <w:rPr>
                <w:rFonts w:asciiTheme="minorHAnsi" w:hAnsiTheme="minorHAnsi" w:cstheme="minorHAnsi"/>
                <w:color w:val="333333"/>
                <w:lang w:val="en-US"/>
              </w:rPr>
              <w:t>Bezzina)</w:t>
            </w:r>
          </w:p>
        </w:tc>
      </w:tr>
      <w:tr w:rsidR="00A34F08" w:rsidRPr="00A34F08" w14:paraId="20530F96" w14:textId="77777777" w:rsidTr="00791811">
        <w:tc>
          <w:tcPr>
            <w:tcW w:w="1241" w:type="dxa"/>
          </w:tcPr>
          <w:p w14:paraId="3ED6C312" w14:textId="0095B08B" w:rsidR="00A34F08" w:rsidRPr="00ED5558" w:rsidRDefault="00ED5558" w:rsidP="00A34F08">
            <w:pPr>
              <w:pStyle w:val="NormalWeb"/>
              <w:jc w:val="both"/>
              <w:rPr>
                <w:rFonts w:asciiTheme="minorHAnsi" w:hAnsiTheme="minorHAnsi" w:cstheme="minorHAnsi"/>
                <w:color w:val="333333"/>
                <w:lang w:val="en-US"/>
              </w:rPr>
            </w:pPr>
            <w:r w:rsidRPr="00ED5558">
              <w:rPr>
                <w:rFonts w:asciiTheme="minorHAnsi" w:hAnsiTheme="minorHAnsi" w:cstheme="minorHAnsi"/>
                <w:color w:val="333333"/>
                <w:lang w:val="en-US"/>
              </w:rPr>
              <w:t>17:</w:t>
            </w:r>
            <w:r w:rsidR="00F41408">
              <w:rPr>
                <w:rFonts w:asciiTheme="minorHAnsi" w:hAnsiTheme="minorHAnsi" w:cstheme="minorHAnsi"/>
                <w:color w:val="333333"/>
                <w:lang w:val="en-US"/>
              </w:rPr>
              <w:t>35</w:t>
            </w:r>
            <w:r>
              <w:rPr>
                <w:rFonts w:asciiTheme="minorHAnsi" w:hAnsiTheme="minorHAnsi" w:cstheme="minorHAnsi"/>
                <w:color w:val="333333"/>
                <w:lang w:val="en-US"/>
              </w:rPr>
              <w:br/>
            </w:r>
            <w:r w:rsidR="00791811">
              <w:rPr>
                <w:rFonts w:asciiTheme="minorHAnsi" w:hAnsiTheme="minorHAnsi" w:cstheme="minorHAnsi"/>
                <w:color w:val="333333"/>
                <w:lang w:val="en-US"/>
              </w:rPr>
              <w:t>18:30</w:t>
            </w:r>
          </w:p>
        </w:tc>
        <w:tc>
          <w:tcPr>
            <w:tcW w:w="7775" w:type="dxa"/>
          </w:tcPr>
          <w:p w14:paraId="500664BA" w14:textId="14ACB2F0" w:rsidR="00A34F08" w:rsidRPr="00ED5558" w:rsidRDefault="00791811" w:rsidP="00A34F08">
            <w:pPr>
              <w:pStyle w:val="NormalWeb"/>
              <w:jc w:val="both"/>
              <w:rPr>
                <w:rFonts w:asciiTheme="minorHAnsi" w:hAnsiTheme="minorHAnsi" w:cstheme="minorHAnsi"/>
                <w:color w:val="333333"/>
                <w:lang w:val="en-US"/>
              </w:rPr>
            </w:pPr>
            <w:r>
              <w:rPr>
                <w:rFonts w:asciiTheme="minorHAnsi" w:hAnsiTheme="minorHAnsi" w:cstheme="minorHAnsi"/>
                <w:color w:val="333333"/>
                <w:lang w:val="en-US"/>
              </w:rPr>
              <w:t>Panel discussion and Q&amp;A</w:t>
            </w:r>
          </w:p>
        </w:tc>
      </w:tr>
      <w:tr w:rsidR="00ED5558" w:rsidRPr="00A34F08" w14:paraId="128C9CB8" w14:textId="77777777" w:rsidTr="00791811">
        <w:tc>
          <w:tcPr>
            <w:tcW w:w="1241" w:type="dxa"/>
          </w:tcPr>
          <w:p w14:paraId="64E0324B" w14:textId="5CD93F4F" w:rsidR="00ED5558" w:rsidRDefault="00ED5558" w:rsidP="00A34F08">
            <w:pPr>
              <w:pStyle w:val="NormalWeb"/>
              <w:jc w:val="both"/>
              <w:rPr>
                <w:rFonts w:asciiTheme="minorHAnsi" w:hAnsiTheme="minorHAnsi" w:cstheme="minorHAnsi"/>
                <w:color w:val="333333"/>
                <w:lang w:val="en-US"/>
              </w:rPr>
            </w:pPr>
            <w:r>
              <w:rPr>
                <w:rFonts w:asciiTheme="minorHAnsi" w:hAnsiTheme="minorHAnsi" w:cstheme="minorHAnsi"/>
                <w:color w:val="333333"/>
                <w:lang w:val="en-US"/>
              </w:rPr>
              <w:t>18:30</w:t>
            </w:r>
          </w:p>
        </w:tc>
        <w:tc>
          <w:tcPr>
            <w:tcW w:w="7775" w:type="dxa"/>
          </w:tcPr>
          <w:p w14:paraId="07F664FB" w14:textId="7C9E6EC2" w:rsidR="00ED5558" w:rsidRDefault="00ED5558" w:rsidP="00ED5558">
            <w:pPr>
              <w:pStyle w:val="NormalWeb"/>
              <w:rPr>
                <w:rFonts w:asciiTheme="minorHAnsi" w:hAnsiTheme="minorHAnsi" w:cstheme="minorHAnsi"/>
                <w:color w:val="333333"/>
                <w:lang w:val="en-US"/>
              </w:rPr>
            </w:pPr>
            <w:r>
              <w:rPr>
                <w:rFonts w:asciiTheme="minorHAnsi" w:hAnsiTheme="minorHAnsi" w:cstheme="minorHAnsi"/>
                <w:color w:val="333333"/>
                <w:lang w:val="en-US"/>
              </w:rPr>
              <w:t>Drinks reception</w:t>
            </w:r>
            <w:r>
              <w:rPr>
                <w:rFonts w:asciiTheme="minorHAnsi" w:hAnsiTheme="minorHAnsi" w:cstheme="minorHAnsi"/>
                <w:color w:val="333333"/>
                <w:lang w:val="en-US"/>
              </w:rPr>
              <w:br/>
            </w:r>
          </w:p>
        </w:tc>
      </w:tr>
    </w:tbl>
    <w:p w14:paraId="29FEACE4" w14:textId="77777777" w:rsidR="00A34F08" w:rsidRPr="00A34F08" w:rsidRDefault="00A34F08" w:rsidP="00A34F08">
      <w:pPr>
        <w:pStyle w:val="NormalWeb"/>
        <w:jc w:val="both"/>
        <w:rPr>
          <w:rFonts w:ascii="Montserrat" w:hAnsi="Montserrat"/>
          <w:color w:val="333333"/>
          <w:lang w:val="en-US"/>
        </w:rPr>
      </w:pPr>
    </w:p>
    <w:p w14:paraId="1472A72B" w14:textId="0D83DD70" w:rsidR="004B0CAD" w:rsidRPr="00A34F08" w:rsidRDefault="004B0CAD" w:rsidP="00A34F08">
      <w:pPr>
        <w:jc w:val="both"/>
        <w:rPr>
          <w:lang w:val="en-US"/>
        </w:rPr>
      </w:pPr>
    </w:p>
    <w:p w14:paraId="16D2C9BD" w14:textId="77777777" w:rsidR="004B0CAD" w:rsidRPr="00A34F08" w:rsidRDefault="004B0CAD" w:rsidP="00A34F08">
      <w:pPr>
        <w:jc w:val="both"/>
        <w:rPr>
          <w:lang w:val="en-US"/>
        </w:rPr>
      </w:pPr>
    </w:p>
    <w:sectPr w:rsidR="004B0CAD" w:rsidRPr="00A34F08" w:rsidSect="009125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8007" w14:textId="77777777" w:rsidR="00717915" w:rsidRDefault="00717915" w:rsidP="001516B7">
      <w:r>
        <w:separator/>
      </w:r>
    </w:p>
  </w:endnote>
  <w:endnote w:type="continuationSeparator" w:id="0">
    <w:p w14:paraId="493B15E3" w14:textId="77777777" w:rsidR="00717915" w:rsidRDefault="00717915" w:rsidP="0015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FC6E" w14:textId="55458F10" w:rsidR="001653D9" w:rsidRPr="001653D9" w:rsidRDefault="001653D9" w:rsidP="001653D9">
    <w:pPr>
      <w:pStyle w:val="Footer"/>
      <w:jc w:val="center"/>
      <w:rPr>
        <w:i/>
        <w:iCs/>
        <w:color w:val="7030A0"/>
        <w:sz w:val="20"/>
        <w:szCs w:val="20"/>
      </w:rPr>
    </w:pPr>
    <w:r w:rsidRPr="001653D9">
      <w:rPr>
        <w:i/>
        <w:iCs/>
        <w:color w:val="7030A0"/>
        <w:sz w:val="20"/>
        <w:szCs w:val="20"/>
      </w:rPr>
      <w:t>The INIA Innovative Training Network is supported by a grant from the European Commission’s Marie Skłodowska-Curie Actions program under project number 859869.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2E54" w14:textId="77777777" w:rsidR="00717915" w:rsidRDefault="00717915" w:rsidP="001516B7">
      <w:r>
        <w:separator/>
      </w:r>
    </w:p>
  </w:footnote>
  <w:footnote w:type="continuationSeparator" w:id="0">
    <w:p w14:paraId="4B42D1D8" w14:textId="77777777" w:rsidR="00717915" w:rsidRDefault="00717915" w:rsidP="0015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4458"/>
      <w:gridCol w:w="1839"/>
    </w:tblGrid>
    <w:tr w:rsidR="001516B7" w14:paraId="10C5F8A7" w14:textId="77777777" w:rsidTr="00A34F08">
      <w:tc>
        <w:tcPr>
          <w:tcW w:w="4678" w:type="dxa"/>
        </w:tcPr>
        <w:p w14:paraId="5130F239" w14:textId="6A279081" w:rsidR="001516B7" w:rsidRPr="004B0CAD" w:rsidRDefault="001516B7" w:rsidP="001516B7">
          <w:pPr>
            <w:rPr>
              <w:lang w:val="fr-FR"/>
            </w:rPr>
          </w:pPr>
          <w:r w:rsidRPr="002A19F7">
            <w:rPr>
              <w:noProof/>
              <w:lang w:val="en-US"/>
            </w:rPr>
            <w:drawing>
              <wp:inline distT="0" distB="0" distL="0" distR="0" wp14:anchorId="15E0D033" wp14:editId="6C9FEA79">
                <wp:extent cx="1213583" cy="683260"/>
                <wp:effectExtent l="0" t="0" r="5715" b="254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5327" cy="684242"/>
                        </a:xfrm>
                        <a:prstGeom prst="rect">
                          <a:avLst/>
                        </a:prstGeom>
                        <a:noFill/>
                        <a:ln>
                          <a:noFill/>
                        </a:ln>
                      </pic:spPr>
                    </pic:pic>
                  </a:graphicData>
                </a:graphic>
              </wp:inline>
            </w:drawing>
          </w:r>
          <w:r w:rsidR="004B0CAD">
            <w:rPr>
              <w:lang w:val="fr-FR"/>
            </w:rPr>
            <w:t xml:space="preserve">               </w:t>
          </w:r>
          <w:r w:rsidR="00A34F08">
            <w:rPr>
              <w:lang w:val="fr-FR"/>
            </w:rPr>
            <w:t xml:space="preserve">   </w:t>
          </w:r>
        </w:p>
      </w:tc>
      <w:tc>
        <w:tcPr>
          <w:tcW w:w="7224" w:type="dxa"/>
        </w:tcPr>
        <w:p w14:paraId="53894214" w14:textId="31BB3BFA" w:rsidR="004B0CAD" w:rsidRPr="004B0CAD" w:rsidRDefault="004B0CAD" w:rsidP="00A34F08">
          <w:pPr>
            <w:rPr>
              <w:b/>
              <w:bCs/>
              <w:color w:val="7030A0"/>
              <w:sz w:val="32"/>
              <w:szCs w:val="32"/>
              <w:lang w:val="fr-FR"/>
            </w:rPr>
          </w:pPr>
          <w:r w:rsidRPr="004B0CAD">
            <w:rPr>
              <w:b/>
              <w:bCs/>
              <w:noProof/>
              <w:color w:val="7030A0"/>
              <w:sz w:val="32"/>
              <w:szCs w:val="32"/>
              <w:lang w:val="en-US"/>
            </w:rPr>
            <w:drawing>
              <wp:inline distT="0" distB="0" distL="0" distR="0" wp14:anchorId="485195DC" wp14:editId="7CEEF7B4">
                <wp:extent cx="21590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59000" cy="762000"/>
                        </a:xfrm>
                        <a:prstGeom prst="rect">
                          <a:avLst/>
                        </a:prstGeom>
                      </pic:spPr>
                    </pic:pic>
                  </a:graphicData>
                </a:graphic>
              </wp:inline>
            </w:drawing>
          </w:r>
        </w:p>
        <w:p w14:paraId="11BCC12B" w14:textId="426EC8AE" w:rsidR="004B0CAD" w:rsidRPr="004B0CAD" w:rsidRDefault="004B0CAD" w:rsidP="001516B7">
          <w:pPr>
            <w:jc w:val="center"/>
            <w:rPr>
              <w:lang w:val="fr-FR"/>
            </w:rPr>
          </w:pPr>
        </w:p>
      </w:tc>
      <w:tc>
        <w:tcPr>
          <w:tcW w:w="2046" w:type="dxa"/>
        </w:tcPr>
        <w:p w14:paraId="114B4C97" w14:textId="77777777" w:rsidR="001516B7" w:rsidRDefault="001516B7" w:rsidP="001516B7">
          <w:pPr>
            <w:jc w:val="right"/>
          </w:pPr>
          <w:r w:rsidRPr="00CB424A">
            <w:rPr>
              <w:noProof/>
              <w:lang w:val="en-US"/>
            </w:rPr>
            <w:drawing>
              <wp:inline distT="0" distB="0" distL="0" distR="0" wp14:anchorId="4DF31BC4" wp14:editId="027D1921">
                <wp:extent cx="962025" cy="638394"/>
                <wp:effectExtent l="12700" t="12700" r="15875" b="9525"/>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6235" cy="641188"/>
                        </a:xfrm>
                        <a:prstGeom prst="rect">
                          <a:avLst/>
                        </a:prstGeom>
                        <a:noFill/>
                        <a:ln w="9525" cmpd="sng">
                          <a:solidFill>
                            <a:srgbClr val="FFFFFF"/>
                          </a:solidFill>
                          <a:miter lim="800000"/>
                          <a:headEnd/>
                          <a:tailEnd/>
                        </a:ln>
                        <a:effectLst/>
                      </pic:spPr>
                    </pic:pic>
                  </a:graphicData>
                </a:graphic>
              </wp:inline>
            </w:drawing>
          </w:r>
        </w:p>
      </w:tc>
    </w:tr>
  </w:tbl>
  <w:p w14:paraId="3CC8D8AF" w14:textId="77777777" w:rsidR="001516B7" w:rsidRDefault="0015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69A"/>
    <w:multiLevelType w:val="hybridMultilevel"/>
    <w:tmpl w:val="B142D9E0"/>
    <w:lvl w:ilvl="0" w:tplc="5948B9C0">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73"/>
    <w:rsid w:val="00036B1B"/>
    <w:rsid w:val="000542F8"/>
    <w:rsid w:val="0006533A"/>
    <w:rsid w:val="000A3F0A"/>
    <w:rsid w:val="001007F1"/>
    <w:rsid w:val="00142486"/>
    <w:rsid w:val="001427C7"/>
    <w:rsid w:val="001516B7"/>
    <w:rsid w:val="00153748"/>
    <w:rsid w:val="001653D9"/>
    <w:rsid w:val="002561E6"/>
    <w:rsid w:val="002A045A"/>
    <w:rsid w:val="002A7E83"/>
    <w:rsid w:val="00340F78"/>
    <w:rsid w:val="00397CD4"/>
    <w:rsid w:val="003A129B"/>
    <w:rsid w:val="003A3992"/>
    <w:rsid w:val="003E061D"/>
    <w:rsid w:val="003E2B08"/>
    <w:rsid w:val="00415EE3"/>
    <w:rsid w:val="004B0CAD"/>
    <w:rsid w:val="004F0188"/>
    <w:rsid w:val="004F2C8A"/>
    <w:rsid w:val="00557E43"/>
    <w:rsid w:val="00640063"/>
    <w:rsid w:val="0066065A"/>
    <w:rsid w:val="006E6236"/>
    <w:rsid w:val="00717915"/>
    <w:rsid w:val="00772C2A"/>
    <w:rsid w:val="00791811"/>
    <w:rsid w:val="00912598"/>
    <w:rsid w:val="00A20363"/>
    <w:rsid w:val="00A34F08"/>
    <w:rsid w:val="00A458B4"/>
    <w:rsid w:val="00AD6F10"/>
    <w:rsid w:val="00B00435"/>
    <w:rsid w:val="00B41F55"/>
    <w:rsid w:val="00BA14A9"/>
    <w:rsid w:val="00BC0C22"/>
    <w:rsid w:val="00C05873"/>
    <w:rsid w:val="00C50DCF"/>
    <w:rsid w:val="00C814EC"/>
    <w:rsid w:val="00CC02F0"/>
    <w:rsid w:val="00CE7F1D"/>
    <w:rsid w:val="00E53B36"/>
    <w:rsid w:val="00EA232A"/>
    <w:rsid w:val="00ED0754"/>
    <w:rsid w:val="00ED5558"/>
    <w:rsid w:val="00ED6F11"/>
    <w:rsid w:val="00F24295"/>
    <w:rsid w:val="00F41408"/>
    <w:rsid w:val="00F55F08"/>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6BA6"/>
  <w15:chartTrackingRefBased/>
  <w15:docId w15:val="{74A6734E-D0B2-884B-9838-9E560012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6B7"/>
    <w:pPr>
      <w:tabs>
        <w:tab w:val="center" w:pos="4513"/>
        <w:tab w:val="right" w:pos="9026"/>
      </w:tabs>
    </w:pPr>
  </w:style>
  <w:style w:type="character" w:customStyle="1" w:styleId="HeaderChar">
    <w:name w:val="Header Char"/>
    <w:basedOn w:val="DefaultParagraphFont"/>
    <w:link w:val="Header"/>
    <w:uiPriority w:val="99"/>
    <w:rsid w:val="001516B7"/>
  </w:style>
  <w:style w:type="paragraph" w:styleId="Footer">
    <w:name w:val="footer"/>
    <w:basedOn w:val="Normal"/>
    <w:link w:val="FooterChar"/>
    <w:uiPriority w:val="99"/>
    <w:unhideWhenUsed/>
    <w:rsid w:val="001516B7"/>
    <w:pPr>
      <w:tabs>
        <w:tab w:val="center" w:pos="4513"/>
        <w:tab w:val="right" w:pos="9026"/>
      </w:tabs>
    </w:pPr>
  </w:style>
  <w:style w:type="character" w:customStyle="1" w:styleId="FooterChar">
    <w:name w:val="Footer Char"/>
    <w:basedOn w:val="DefaultParagraphFont"/>
    <w:link w:val="Footer"/>
    <w:uiPriority w:val="99"/>
    <w:rsid w:val="001516B7"/>
  </w:style>
  <w:style w:type="table" w:styleId="GridTable5Dark-Accent4">
    <w:name w:val="Grid Table 5 Dark Accent 4"/>
    <w:basedOn w:val="TableNormal"/>
    <w:uiPriority w:val="50"/>
    <w:rsid w:val="00A203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A203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F55F08"/>
    <w:pPr>
      <w:ind w:left="720"/>
      <w:contextualSpacing/>
    </w:pPr>
  </w:style>
  <w:style w:type="paragraph" w:styleId="NormalWeb">
    <w:name w:val="Normal (Web)"/>
    <w:basedOn w:val="Normal"/>
    <w:uiPriority w:val="99"/>
    <w:unhideWhenUsed/>
    <w:rsid w:val="00A34F0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955">
      <w:bodyDiv w:val="1"/>
      <w:marLeft w:val="0"/>
      <w:marRight w:val="0"/>
      <w:marTop w:val="0"/>
      <w:marBottom w:val="0"/>
      <w:divBdr>
        <w:top w:val="none" w:sz="0" w:space="0" w:color="auto"/>
        <w:left w:val="none" w:sz="0" w:space="0" w:color="auto"/>
        <w:bottom w:val="none" w:sz="0" w:space="0" w:color="auto"/>
        <w:right w:val="none" w:sz="0" w:space="0" w:color="auto"/>
      </w:divBdr>
    </w:div>
    <w:div w:id="1316685055">
      <w:bodyDiv w:val="1"/>
      <w:marLeft w:val="0"/>
      <w:marRight w:val="0"/>
      <w:marTop w:val="0"/>
      <w:marBottom w:val="0"/>
      <w:divBdr>
        <w:top w:val="none" w:sz="0" w:space="0" w:color="auto"/>
        <w:left w:val="none" w:sz="0" w:space="0" w:color="auto"/>
        <w:bottom w:val="none" w:sz="0" w:space="0" w:color="auto"/>
        <w:right w:val="none" w:sz="0" w:space="0" w:color="auto"/>
      </w:divBdr>
    </w:div>
    <w:div w:id="15177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Desplats</dc:creator>
  <cp:keywords/>
  <dc:description/>
  <cp:lastModifiedBy>Clare Desplats</cp:lastModifiedBy>
  <cp:revision>2</cp:revision>
  <dcterms:created xsi:type="dcterms:W3CDTF">2022-09-07T13:36:00Z</dcterms:created>
  <dcterms:modified xsi:type="dcterms:W3CDTF">2022-09-07T13:36:00Z</dcterms:modified>
</cp:coreProperties>
</file>